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23119" cy="633412"/>
            <wp:effectExtent l="0" t="0" r="0" b="0"/>
            <wp:docPr id="2" name="Image 2" descr="SiteImageID_6913_2_7%7c6%7c6913%7c1%7c2%7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SiteImageID_6913_2_7%7c6%7c6913%7c1%7c2%7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19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6"/>
        <w:rPr>
          <w:rFonts w:ascii="Times New Roman"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9"/>
        <w:gridCol w:w="4194"/>
      </w:tblGrid>
      <w:tr>
        <w:trPr>
          <w:trHeight w:val="1310" w:hRule="atLeast"/>
        </w:trPr>
        <w:tc>
          <w:tcPr>
            <w:tcW w:w="515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622322"/>
                <w:spacing w:val="-2"/>
                <w:sz w:val="22"/>
              </w:rPr>
              <w:t>Title: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Research and Teaching Activities Involving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Vertebrate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Animals </w:t>
            </w:r>
            <w:r>
              <w:rPr>
                <w:b/>
                <w:spacing w:val="-2"/>
                <w:sz w:val="22"/>
              </w:rPr>
              <w:t>Policy</w:t>
            </w:r>
          </w:p>
        </w:tc>
        <w:tc>
          <w:tcPr>
            <w:tcW w:w="4194" w:type="dxa"/>
          </w:tcPr>
          <w:p>
            <w:pPr>
              <w:pStyle w:val="TableParagraph"/>
              <w:ind w:right="985"/>
              <w:rPr>
                <w:b/>
                <w:sz w:val="22"/>
              </w:rPr>
            </w:pPr>
            <w:r>
              <w:rPr>
                <w:b/>
                <w:color w:val="622322"/>
                <w:sz w:val="22"/>
              </w:rPr>
              <w:t>Policy</w:t>
            </w:r>
            <w:r>
              <w:rPr>
                <w:b/>
                <w:color w:val="622322"/>
                <w:spacing w:val="-19"/>
                <w:sz w:val="22"/>
              </w:rPr>
              <w:t> </w:t>
            </w:r>
            <w:r>
              <w:rPr>
                <w:b/>
                <w:color w:val="622322"/>
                <w:sz w:val="22"/>
              </w:rPr>
              <w:t>Category: </w:t>
            </w:r>
            <w:r>
              <w:rPr>
                <w:b/>
                <w:spacing w:val="-2"/>
                <w:sz w:val="22"/>
              </w:rPr>
              <w:t>Research</w:t>
            </w:r>
          </w:p>
        </w:tc>
      </w:tr>
      <w:tr>
        <w:trPr>
          <w:trHeight w:val="775" w:hRule="atLeast"/>
        </w:trPr>
        <w:tc>
          <w:tcPr>
            <w:tcW w:w="5159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color w:val="622322"/>
                <w:sz w:val="22"/>
              </w:rPr>
              <w:t>Issuing</w:t>
            </w:r>
            <w:r>
              <w:rPr>
                <w:b/>
                <w:color w:val="622322"/>
                <w:spacing w:val="-7"/>
                <w:sz w:val="22"/>
              </w:rPr>
              <w:t> </w:t>
            </w:r>
            <w:r>
              <w:rPr>
                <w:b/>
                <w:color w:val="622322"/>
                <w:spacing w:val="-2"/>
                <w:sz w:val="22"/>
              </w:rPr>
              <w:t>Authority: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Office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Innovation</w:t>
            </w:r>
          </w:p>
        </w:tc>
        <w:tc>
          <w:tcPr>
            <w:tcW w:w="4194" w:type="dxa"/>
          </w:tcPr>
          <w:p>
            <w:pPr>
              <w:pStyle w:val="TableParagraph"/>
              <w:spacing w:line="267" w:lineRule="exact" w:before="0"/>
              <w:rPr>
                <w:b/>
                <w:sz w:val="22"/>
              </w:rPr>
            </w:pPr>
            <w:r>
              <w:rPr>
                <w:b/>
                <w:color w:val="622322"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Office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Compliance</w:t>
            </w:r>
          </w:p>
        </w:tc>
      </w:tr>
      <w:tr>
        <w:trPr>
          <w:trHeight w:val="774" w:hRule="atLeast"/>
        </w:trPr>
        <w:tc>
          <w:tcPr>
            <w:tcW w:w="5159" w:type="dxa"/>
          </w:tcPr>
          <w:p>
            <w:pPr>
              <w:pStyle w:val="TableParagraph"/>
              <w:ind w:left="182" w:right="1425" w:hanging="75"/>
              <w:rPr>
                <w:b/>
                <w:sz w:val="22"/>
              </w:rPr>
            </w:pPr>
            <w:r>
              <w:rPr>
                <w:b/>
                <w:color w:val="622322"/>
                <w:sz w:val="22"/>
              </w:rPr>
              <w:t>Publication</w:t>
            </w:r>
            <w:r>
              <w:rPr>
                <w:b/>
                <w:color w:val="622322"/>
                <w:spacing w:val="-19"/>
                <w:sz w:val="22"/>
              </w:rPr>
              <w:t> </w:t>
            </w:r>
            <w:r>
              <w:rPr>
                <w:b/>
                <w:color w:val="622322"/>
                <w:sz w:val="22"/>
              </w:rPr>
              <w:t>Date: </w:t>
            </w:r>
            <w:r>
              <w:rPr>
                <w:b/>
                <w:spacing w:val="-2"/>
                <w:sz w:val="22"/>
              </w:rPr>
              <w:t>11/13/2025</w:t>
            </w:r>
          </w:p>
        </w:tc>
        <w:tc>
          <w:tcPr>
            <w:tcW w:w="4194" w:type="dxa"/>
          </w:tcPr>
          <w:p>
            <w:pPr>
              <w:pStyle w:val="TableParagraph"/>
              <w:ind w:left="181" w:right="985" w:hanging="75"/>
              <w:rPr>
                <w:b/>
                <w:sz w:val="22"/>
              </w:rPr>
            </w:pPr>
            <w:r>
              <w:rPr>
                <w:b/>
                <w:color w:val="622322"/>
                <w:sz w:val="22"/>
              </w:rPr>
              <w:t>Next</w:t>
            </w:r>
            <w:r>
              <w:rPr>
                <w:b/>
                <w:color w:val="622322"/>
                <w:spacing w:val="-18"/>
                <w:sz w:val="22"/>
              </w:rPr>
              <w:t> </w:t>
            </w:r>
            <w:r>
              <w:rPr>
                <w:b/>
                <w:color w:val="622322"/>
                <w:sz w:val="22"/>
              </w:rPr>
              <w:t>Review</w:t>
            </w:r>
            <w:r>
              <w:rPr>
                <w:b/>
                <w:color w:val="622322"/>
                <w:spacing w:val="-18"/>
                <w:sz w:val="22"/>
              </w:rPr>
              <w:t> </w:t>
            </w:r>
            <w:r>
              <w:rPr>
                <w:b/>
                <w:color w:val="622322"/>
                <w:sz w:val="22"/>
              </w:rPr>
              <w:t>Date: </w:t>
            </w:r>
            <w:r>
              <w:rPr>
                <w:b/>
                <w:spacing w:val="-2"/>
                <w:sz w:val="22"/>
              </w:rPr>
              <w:t>11/13/2028</w:t>
            </w:r>
          </w:p>
        </w:tc>
      </w:tr>
    </w:tbl>
    <w:p>
      <w:pPr>
        <w:spacing w:before="0"/>
        <w:ind w:left="881" w:right="0" w:firstLine="0"/>
        <w:jc w:val="left"/>
        <w:rPr>
          <w:sz w:val="16"/>
        </w:rPr>
      </w:pPr>
      <w:r>
        <w:rPr>
          <w:color w:val="FF0000"/>
          <w:sz w:val="16"/>
        </w:rPr>
        <w:t>Printed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copies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are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for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reference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only.</w:t>
      </w:r>
      <w:r>
        <w:rPr>
          <w:color w:val="FF0000"/>
          <w:spacing w:val="43"/>
          <w:sz w:val="16"/>
        </w:rPr>
        <w:t> </w:t>
      </w:r>
      <w:r>
        <w:rPr>
          <w:color w:val="FF0000"/>
          <w:sz w:val="16"/>
        </w:rPr>
        <w:t>Please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refer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to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the</w:t>
      </w:r>
      <w:r>
        <w:rPr>
          <w:color w:val="FF0000"/>
          <w:spacing w:val="-5"/>
          <w:sz w:val="16"/>
        </w:rPr>
        <w:t> </w:t>
      </w:r>
      <w:hyperlink r:id="rId7">
        <w:r>
          <w:rPr>
            <w:color w:val="0000FF"/>
            <w:sz w:val="16"/>
            <w:u w:val="single" w:color="0000FF"/>
          </w:rPr>
          <w:t>electronic</w:t>
        </w:r>
        <w:r>
          <w:rPr>
            <w:color w:val="0000FF"/>
            <w:spacing w:val="-10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copy</w:t>
        </w:r>
      </w:hyperlink>
      <w:r>
        <w:rPr>
          <w:color w:val="0000FF"/>
          <w:spacing w:val="-5"/>
          <w:sz w:val="16"/>
          <w:u w:val="none"/>
        </w:rPr>
        <w:t> </w:t>
      </w:r>
      <w:r>
        <w:rPr>
          <w:color w:val="FF0000"/>
          <w:sz w:val="16"/>
          <w:u w:val="none"/>
        </w:rPr>
        <w:t>for</w:t>
      </w:r>
      <w:r>
        <w:rPr>
          <w:color w:val="FF0000"/>
          <w:spacing w:val="-7"/>
          <w:sz w:val="16"/>
          <w:u w:val="none"/>
        </w:rPr>
        <w:t> </w:t>
      </w:r>
      <w:r>
        <w:rPr>
          <w:color w:val="FF0000"/>
          <w:sz w:val="16"/>
          <w:u w:val="none"/>
        </w:rPr>
        <w:t>the</w:t>
      </w:r>
      <w:r>
        <w:rPr>
          <w:color w:val="FF0000"/>
          <w:spacing w:val="-5"/>
          <w:sz w:val="16"/>
          <w:u w:val="none"/>
        </w:rPr>
        <w:t> </w:t>
      </w:r>
      <w:r>
        <w:rPr>
          <w:color w:val="FF0000"/>
          <w:sz w:val="16"/>
          <w:u w:val="none"/>
        </w:rPr>
        <w:t>latest</w:t>
      </w:r>
      <w:r>
        <w:rPr>
          <w:color w:val="FF0000"/>
          <w:spacing w:val="-7"/>
          <w:sz w:val="16"/>
          <w:u w:val="none"/>
        </w:rPr>
        <w:t> </w:t>
      </w:r>
      <w:r>
        <w:rPr>
          <w:color w:val="FF0000"/>
          <w:spacing w:val="-2"/>
          <w:sz w:val="16"/>
          <w:u w:val="none"/>
        </w:rPr>
        <w:t>version.</w:t>
      </w:r>
    </w:p>
    <w:p>
      <w:pPr>
        <w:pStyle w:val="BodyText"/>
        <w:spacing w:before="72"/>
        <w:rPr>
          <w:sz w:val="16"/>
        </w:rPr>
      </w:pPr>
    </w:p>
    <w:p>
      <w:pPr>
        <w:pStyle w:val="Heading1"/>
      </w:pPr>
      <w:r>
        <w:rPr>
          <w:color w:val="622322"/>
        </w:rPr>
        <w:t>Policy</w:t>
      </w:r>
      <w:r>
        <w:rPr>
          <w:color w:val="622322"/>
          <w:spacing w:val="-7"/>
        </w:rPr>
        <w:t> </w:t>
      </w:r>
      <w:r>
        <w:rPr>
          <w:color w:val="622322"/>
          <w:spacing w:val="-2"/>
        </w:rPr>
        <w:t>Statement/Background:</w:t>
      </w:r>
    </w:p>
    <w:p>
      <w:pPr>
        <w:pStyle w:val="BodyText"/>
        <w:rPr>
          <w:b/>
        </w:rPr>
      </w:pPr>
    </w:p>
    <w:p>
      <w:pPr>
        <w:pStyle w:val="BodyText"/>
        <w:ind w:right="711"/>
      </w:pP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committed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humane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animals.</w:t>
      </w:r>
      <w:r>
        <w:rPr>
          <w:spacing w:val="-2"/>
        </w:rPr>
        <w:t> </w:t>
      </w:r>
      <w:r>
        <w:rPr/>
        <w:t>Long</w:t>
      </w:r>
      <w:r>
        <w:rPr>
          <w:spacing w:val="-4"/>
        </w:rPr>
        <w:t> </w:t>
      </w:r>
      <w:r>
        <w:rPr/>
        <w:t>before being required to do so by the State and Federal government, this University initiated policies that addressed activities involving animals and established a committee to monitor those activities. Responsibility for all activities involving vertebrate animals resides with the Vice President for Research and Innovation.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622322"/>
          <w:spacing w:val="-2"/>
        </w:rPr>
        <w:t>Policy:</w:t>
      </w:r>
    </w:p>
    <w:p>
      <w:pPr>
        <w:spacing w:before="266"/>
        <w:ind w:left="374" w:right="711" w:hanging="375"/>
        <w:jc w:val="left"/>
        <w:rPr>
          <w:b/>
          <w:sz w:val="22"/>
        </w:rPr>
      </w:pPr>
      <w:r>
        <w:rPr>
          <w:b/>
          <w:sz w:val="22"/>
        </w:rPr>
        <w:t>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Initiating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Maintaining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Teaching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Activities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Involving Use of Vertebrate Animals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" w:after="0"/>
        <w:ind w:left="1233" w:right="686" w:hanging="514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teaching</w:t>
      </w:r>
      <w:r>
        <w:rPr>
          <w:spacing w:val="-6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involving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vertebrate</w:t>
      </w:r>
      <w:r>
        <w:rPr>
          <w:spacing w:val="-5"/>
          <w:sz w:val="22"/>
        </w:rPr>
        <w:t> </w:t>
      </w:r>
      <w:r>
        <w:rPr>
          <w:sz w:val="22"/>
        </w:rPr>
        <w:t>animals are regulated by laws and policies at the campus, State and Federal </w:t>
      </w:r>
      <w:r>
        <w:rPr>
          <w:spacing w:val="-2"/>
          <w:sz w:val="22"/>
        </w:rPr>
        <w:t>levels.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503" w:hanging="514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faculty,</w:t>
      </w:r>
      <w:r>
        <w:rPr>
          <w:spacing w:val="-4"/>
          <w:sz w:val="22"/>
        </w:rPr>
        <w:t> </w:t>
      </w:r>
      <w:r>
        <w:rPr>
          <w:sz w:val="22"/>
        </w:rPr>
        <w:t>staff,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comply with these regulations.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656" w:hanging="514"/>
        <w:jc w:val="left"/>
        <w:rPr>
          <w:sz w:val="22"/>
        </w:rPr>
      </w:pP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regulations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visitors,</w:t>
      </w:r>
      <w:r>
        <w:rPr>
          <w:spacing w:val="-5"/>
          <w:sz w:val="22"/>
        </w:rPr>
        <w:t> </w:t>
      </w:r>
      <w:r>
        <w:rPr>
          <w:sz w:val="22"/>
        </w:rPr>
        <w:t>users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campus</w:t>
      </w:r>
      <w:r>
        <w:rPr>
          <w:spacing w:val="-4"/>
          <w:sz w:val="22"/>
        </w:rPr>
        <w:t> </w:t>
      </w:r>
      <w:r>
        <w:rPr>
          <w:sz w:val="22"/>
        </w:rPr>
        <w:t>facilities,</w:t>
      </w:r>
      <w:r>
        <w:rPr>
          <w:spacing w:val="-5"/>
          <w:sz w:val="22"/>
        </w:rPr>
        <w:t> </w:t>
      </w:r>
      <w:r>
        <w:rPr>
          <w:sz w:val="22"/>
        </w:rPr>
        <w:t>and users of off-campus University facilities.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1" w:after="0"/>
        <w:ind w:left="1233" w:right="627" w:hanging="514"/>
        <w:jc w:val="left"/>
        <w:rPr>
          <w:sz w:val="22"/>
        </w:rPr>
      </w:pPr>
      <w:r>
        <w:rPr>
          <w:sz w:val="22"/>
        </w:rPr>
        <w:t>Non-Stony</w:t>
      </w:r>
      <w:r>
        <w:rPr>
          <w:spacing w:val="-5"/>
          <w:sz w:val="22"/>
        </w:rPr>
        <w:t> </w:t>
      </w:r>
      <w:r>
        <w:rPr>
          <w:sz w:val="22"/>
        </w:rPr>
        <w:t>Brook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users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campus</w:t>
      </w:r>
      <w:r>
        <w:rPr>
          <w:spacing w:val="-4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users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off-campus University facilities must enter into appropriate agreement(s) with the University.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894" w:hanging="514"/>
        <w:jc w:val="left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teaching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involving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2"/>
          <w:sz w:val="22"/>
        </w:rPr>
        <w:t> </w:t>
      </w:r>
      <w:r>
        <w:rPr>
          <w:sz w:val="22"/>
        </w:rPr>
        <w:t>vertebrate animals</w:t>
      </w:r>
      <w:r>
        <w:rPr>
          <w:spacing w:val="-2"/>
          <w:sz w:val="22"/>
        </w:rPr>
        <w:t> </w:t>
      </w:r>
      <w:r>
        <w:rPr>
          <w:sz w:val="22"/>
        </w:rPr>
        <w:t>much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Institutional</w:t>
      </w:r>
      <w:r>
        <w:rPr>
          <w:spacing w:val="-5"/>
          <w:sz w:val="22"/>
        </w:rPr>
        <w:t> </w:t>
      </w:r>
      <w:r>
        <w:rPr>
          <w:sz w:val="22"/>
        </w:rPr>
        <w:t>Animal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Use Committee (IACUC) prior to ordering animals and prior to commencement of the activity.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1054" w:top="1440" w:bottom="1240" w:left="144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80" w:after="0"/>
        <w:ind w:left="1080" w:right="619" w:hanging="360"/>
        <w:jc w:val="both"/>
        <w:rPr>
          <w:sz w:val="22"/>
        </w:rPr>
      </w:pPr>
      <w:r>
        <w:rPr>
          <w:sz w:val="22"/>
        </w:rPr>
        <w:t>Except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stated</w:t>
      </w:r>
      <w:r>
        <w:rPr>
          <w:spacing w:val="-5"/>
          <w:sz w:val="22"/>
        </w:rPr>
        <w:t> </w:t>
      </w:r>
      <w:r>
        <w:rPr>
          <w:sz w:val="22"/>
        </w:rPr>
        <w:t>below,</w:t>
      </w:r>
      <w:r>
        <w:rPr>
          <w:spacing w:val="-5"/>
          <w:sz w:val="22"/>
        </w:rPr>
        <w:t> </w:t>
      </w:r>
      <w:r>
        <w:rPr>
          <w:sz w:val="22"/>
        </w:rPr>
        <w:t>permission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vertebrate</w:t>
      </w:r>
      <w:r>
        <w:rPr>
          <w:spacing w:val="-4"/>
          <w:sz w:val="22"/>
        </w:rPr>
        <w:t> </w:t>
      </w:r>
      <w:r>
        <w:rPr>
          <w:sz w:val="22"/>
        </w:rPr>
        <w:t>animals</w:t>
      </w:r>
      <w:r>
        <w:rPr>
          <w:spacing w:val="-2"/>
          <w:sz w:val="22"/>
        </w:rPr>
        <w:t> </w:t>
      </w:r>
      <w:r>
        <w:rPr>
          <w:sz w:val="22"/>
        </w:rPr>
        <w:t>for research or teaching purposes must</w:t>
      </w:r>
      <w:r>
        <w:rPr>
          <w:spacing w:val="-1"/>
          <w:sz w:val="22"/>
        </w:rPr>
        <w:t> </w:t>
      </w:r>
      <w:r>
        <w:rPr>
          <w:sz w:val="22"/>
        </w:rPr>
        <w:t>be obtained</w:t>
      </w:r>
      <w:r>
        <w:rPr>
          <w:spacing w:val="-1"/>
          <w:sz w:val="22"/>
        </w:rPr>
        <w:t> </w:t>
      </w:r>
      <w:r>
        <w:rPr>
          <w:sz w:val="22"/>
        </w:rPr>
        <w:t>through the Division of Laboratory Animal Resources (DLAR).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0" w:after="0"/>
        <w:ind w:left="1800" w:right="48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IACUC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waive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mandatory</w:t>
      </w:r>
      <w:r>
        <w:rPr>
          <w:spacing w:val="-5"/>
          <w:sz w:val="22"/>
        </w:rPr>
        <w:t> </w:t>
      </w:r>
      <w:r>
        <w:rPr>
          <w:sz w:val="22"/>
        </w:rPr>
        <w:t>acquisition</w:t>
      </w:r>
      <w:r>
        <w:rPr>
          <w:spacing w:val="-3"/>
          <w:sz w:val="22"/>
        </w:rPr>
        <w:t> </w:t>
      </w:r>
      <w:r>
        <w:rPr>
          <w:sz w:val="22"/>
        </w:rPr>
        <w:t>of animals through DLAR in cases where the activity involves field work. Such a waiver is granted when the detailed methods of observation, capture, and/or tagging of vertebrate animals are determined by the IACUC to be in compliance with applicable regulations governing such work. See item 11 below for additional </w:t>
      </w:r>
      <w:r>
        <w:rPr>
          <w:spacing w:val="-2"/>
          <w:sz w:val="22"/>
        </w:rPr>
        <w:t>information.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7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privately-owned</w:t>
      </w:r>
      <w:r>
        <w:rPr>
          <w:spacing w:val="-5"/>
          <w:sz w:val="22"/>
        </w:rPr>
        <w:t> </w:t>
      </w:r>
      <w:r>
        <w:rPr>
          <w:sz w:val="22"/>
        </w:rPr>
        <w:t>animals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prohibited.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732" w:hanging="514"/>
        <w:jc w:val="left"/>
        <w:rPr>
          <w:sz w:val="22"/>
        </w:rPr>
      </w:pPr>
      <w:r>
        <w:rPr>
          <w:sz w:val="22"/>
        </w:rPr>
        <w:t>Users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vertebrate</w:t>
      </w:r>
      <w:r>
        <w:rPr>
          <w:spacing w:val="-4"/>
          <w:sz w:val="22"/>
        </w:rPr>
        <w:t> </w:t>
      </w:r>
      <w:r>
        <w:rPr>
          <w:sz w:val="22"/>
        </w:rPr>
        <w:t>animals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follow</w:t>
      </w:r>
      <w:r>
        <w:rPr>
          <w:spacing w:val="-4"/>
          <w:sz w:val="22"/>
        </w:rPr>
        <w:t> </w:t>
      </w:r>
      <w:r>
        <w:rPr>
          <w:sz w:val="22"/>
        </w:rPr>
        <w:t>policies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forth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Guide for the Care and Use of Laboratory Animals published by the Public Health Service, National Institutes of Health (NIH) (8</w:t>
      </w:r>
      <w:r>
        <w:rPr>
          <w:position w:val="8"/>
          <w:sz w:val="14"/>
        </w:rPr>
        <w:t>th</w:t>
      </w:r>
      <w:r>
        <w:rPr>
          <w:spacing w:val="40"/>
          <w:position w:val="8"/>
          <w:sz w:val="14"/>
        </w:rPr>
        <w:t> </w:t>
      </w:r>
      <w:r>
        <w:rPr>
          <w:sz w:val="22"/>
        </w:rPr>
        <w:t>Edition).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2" w:after="0"/>
        <w:ind w:left="1233" w:right="631" w:hanging="514"/>
        <w:jc w:val="left"/>
        <w:rPr>
          <w:sz w:val="22"/>
        </w:rPr>
      </w:pPr>
      <w:r>
        <w:rPr>
          <w:sz w:val="22"/>
        </w:rPr>
        <w:t>In the event that the animals must be euthanized, the method of euthanasia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conform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reported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AVMA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  <w:r>
        <w:rPr>
          <w:spacing w:val="-4"/>
          <w:sz w:val="22"/>
        </w:rPr>
        <w:t> </w:t>
      </w:r>
      <w:r>
        <w:rPr>
          <w:sz w:val="22"/>
        </w:rPr>
        <w:t>for the Euthanasia of Animals: 2020 Edition, or subsequent revisions. Methods of euthanasia for species not covered by this report must be employed as per IACUC recommendation.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1049" w:hanging="514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individuals</w:t>
      </w:r>
      <w:r>
        <w:rPr>
          <w:spacing w:val="-3"/>
          <w:sz w:val="22"/>
        </w:rPr>
        <w:t> </w:t>
      </w:r>
      <w:r>
        <w:rPr>
          <w:sz w:val="22"/>
        </w:rPr>
        <w:t>involved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animals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must attend a training session on the humane care and use of animals conducted by the Director of the DLAR or designee as required in</w:t>
      </w:r>
    </w:p>
    <w:p>
      <w:pPr>
        <w:pStyle w:val="BodyText"/>
        <w:spacing w:line="266" w:lineRule="exact"/>
        <w:ind w:left="1233"/>
      </w:pPr>
      <w:r>
        <w:rPr/>
        <w:t>Stony</w:t>
      </w:r>
      <w:r>
        <w:rPr>
          <w:spacing w:val="-8"/>
        </w:rPr>
        <w:t> </w:t>
      </w:r>
      <w:r>
        <w:rPr/>
        <w:t>Brook’s</w:t>
      </w:r>
      <w:r>
        <w:rPr>
          <w:spacing w:val="-4"/>
        </w:rPr>
        <w:t> </w:t>
      </w:r>
      <w:r>
        <w:rPr/>
        <w:t>Assurance</w:t>
      </w:r>
      <w:r>
        <w:rPr>
          <w:spacing w:val="-4"/>
        </w:rPr>
        <w:t> </w:t>
      </w:r>
      <w:r>
        <w:rPr/>
        <w:t>filed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Institutes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Health.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751" w:hanging="603"/>
        <w:jc w:val="left"/>
        <w:rPr>
          <w:sz w:val="22"/>
        </w:rPr>
      </w:pPr>
      <w:r>
        <w:rPr>
          <w:sz w:val="22"/>
        </w:rPr>
        <w:t>IACUC</w:t>
      </w:r>
      <w:r>
        <w:rPr>
          <w:spacing w:val="-5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cases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6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University propose to engage in collaborative work that involves the use of animals in facilities other than those under the auspices of Stony </w:t>
      </w:r>
      <w:r>
        <w:rPr>
          <w:spacing w:val="-2"/>
          <w:sz w:val="22"/>
        </w:rPr>
        <w:t>Brook.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0" w:after="0"/>
        <w:ind w:left="1233" w:right="0" w:hanging="602"/>
        <w:jc w:val="left"/>
        <w:rPr>
          <w:sz w:val="22"/>
        </w:rPr>
      </w:pPr>
      <w:r>
        <w:rPr>
          <w:sz w:val="22"/>
        </w:rPr>
        <w:t>Some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animals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wild</w:t>
      </w:r>
      <w:r>
        <w:rPr>
          <w:spacing w:val="-6"/>
          <w:sz w:val="22"/>
        </w:rPr>
        <w:t> </w:t>
      </w:r>
      <w:r>
        <w:rPr>
          <w:sz w:val="22"/>
        </w:rPr>
        <w:t>caught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obtained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without</w:t>
      </w:r>
    </w:p>
    <w:p>
      <w:pPr>
        <w:pStyle w:val="BodyText"/>
        <w:spacing w:before="59"/>
        <w:ind w:left="1246" w:firstLine="14"/>
      </w:pPr>
      <w:r>
        <w:rPr/>
        <w:t>DLAR</w:t>
      </w:r>
      <w:r>
        <w:rPr>
          <w:spacing w:val="-3"/>
        </w:rPr>
        <w:t> </w:t>
      </w:r>
      <w:r>
        <w:rPr/>
        <w:t>involvement,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valid</w:t>
      </w:r>
      <w:r>
        <w:rPr>
          <w:spacing w:val="-4"/>
        </w:rPr>
        <w:t> </w:t>
      </w:r>
      <w:r>
        <w:rPr/>
        <w:t>IACUC</w:t>
      </w:r>
      <w:r>
        <w:rPr>
          <w:spacing w:val="-2"/>
        </w:rPr>
        <w:t> </w:t>
      </w:r>
      <w:r>
        <w:rPr/>
        <w:t>protocol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still</w:t>
      </w:r>
      <w:r>
        <w:rPr>
          <w:spacing w:val="-6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DLAR must be notified if the animals will be housed at Stony Brook.</w:t>
      </w:r>
    </w:p>
    <w:p>
      <w:pPr>
        <w:pStyle w:val="BodyText"/>
        <w:spacing w:before="1"/>
        <w:ind w:left="1236" w:right="711" w:firstLine="9"/>
      </w:pPr>
      <w:r>
        <w:rPr/>
        <w:t>Investigators are expected to secure the appropriate permits to trap/catch any animals. In addition, some areas require use permits 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their</w:t>
      </w:r>
      <w:r>
        <w:rPr>
          <w:spacing w:val="-2"/>
        </w:rPr>
        <w:t> </w:t>
      </w:r>
      <w:r>
        <w:rPr/>
        <w:t>lands.</w:t>
      </w:r>
      <w:r>
        <w:rPr>
          <w:spacing w:val="-5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of the PI to obtain such permits.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61" w:after="0"/>
        <w:ind w:left="1260" w:right="657" w:hanging="629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animals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campus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5"/>
          <w:sz w:val="22"/>
        </w:rPr>
        <w:t> </w:t>
      </w:r>
      <w:r>
        <w:rPr>
          <w:sz w:val="22"/>
        </w:rPr>
        <w:t>demonstration</w:t>
      </w:r>
      <w:r>
        <w:rPr>
          <w:spacing w:val="-4"/>
          <w:sz w:val="22"/>
        </w:rPr>
        <w:t> </w:t>
      </w:r>
      <w:r>
        <w:rPr>
          <w:sz w:val="22"/>
        </w:rPr>
        <w:t>animals, therapy animals, security animals, etc.) must be consistent with the University's Animals on Campus Policy, and all rules and procedures therein must be followed.</w:t>
      </w:r>
    </w:p>
    <w:p>
      <w:pPr>
        <w:pStyle w:val="BodyText"/>
        <w:spacing w:before="266"/>
      </w:pPr>
    </w:p>
    <w:p>
      <w:pPr>
        <w:pStyle w:val="Heading1"/>
        <w:spacing w:before="1"/>
      </w:pPr>
      <w:r>
        <w:rPr>
          <w:color w:val="622322"/>
          <w:spacing w:val="-2"/>
        </w:rPr>
        <w:t>Definitions:</w:t>
      </w:r>
    </w:p>
    <w:p>
      <w:pPr>
        <w:pStyle w:val="BodyText"/>
        <w:rPr>
          <w:b/>
        </w:rPr>
      </w:pPr>
    </w:p>
    <w:p>
      <w:pPr>
        <w:pStyle w:val="BodyText"/>
      </w:pPr>
      <w:r>
        <w:rPr>
          <w:spacing w:val="-4"/>
        </w:rPr>
        <w:t>None</w:t>
      </w:r>
    </w:p>
    <w:p>
      <w:pPr>
        <w:pStyle w:val="BodyText"/>
        <w:spacing w:after="0"/>
        <w:sectPr>
          <w:pgSz w:w="12240" w:h="15840"/>
          <w:pgMar w:header="0" w:footer="1054" w:top="1360" w:bottom="1240" w:left="1440" w:right="1080"/>
        </w:sectPr>
      </w:pPr>
    </w:p>
    <w:p>
      <w:pPr>
        <w:pStyle w:val="Heading1"/>
        <w:spacing w:before="80"/>
      </w:pPr>
      <w:r>
        <w:rPr>
          <w:color w:val="622322"/>
          <w:spacing w:val="-2"/>
        </w:rPr>
        <w:t>Contact:</w:t>
      </w:r>
    </w:p>
    <w:p>
      <w:pPr>
        <w:pStyle w:val="BodyText"/>
        <w:rPr>
          <w:b/>
        </w:rPr>
      </w:pPr>
    </w:p>
    <w:p>
      <w:pPr>
        <w:spacing w:line="267" w:lineRule="exact"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Compliance</w:t>
      </w:r>
    </w:p>
    <w:p>
      <w:pPr>
        <w:pStyle w:val="BodyText"/>
        <w:ind w:right="4406"/>
      </w:pPr>
      <w:r>
        <w:rPr/>
        <w:t>W5530,</w:t>
      </w:r>
      <w:r>
        <w:rPr>
          <w:spacing w:val="-10"/>
        </w:rPr>
        <w:t> </w:t>
      </w:r>
      <w:r>
        <w:rPr/>
        <w:t>Frank</w:t>
      </w:r>
      <w:r>
        <w:rPr>
          <w:spacing w:val="-9"/>
        </w:rPr>
        <w:t> </w:t>
      </w:r>
      <w:r>
        <w:rPr/>
        <w:t>Melville</w:t>
      </w:r>
      <w:r>
        <w:rPr>
          <w:spacing w:val="-6"/>
        </w:rPr>
        <w:t> </w:t>
      </w:r>
      <w:r>
        <w:rPr/>
        <w:t>Jr.</w:t>
      </w:r>
      <w:r>
        <w:rPr>
          <w:spacing w:val="-10"/>
        </w:rPr>
        <w:t> </w:t>
      </w:r>
      <w:r>
        <w:rPr/>
        <w:t>Memorial</w:t>
      </w:r>
      <w:r>
        <w:rPr>
          <w:spacing w:val="-11"/>
        </w:rPr>
        <w:t> </w:t>
      </w:r>
      <w:r>
        <w:rPr/>
        <w:t>Library Stony Brook, NY 11794-3368</w:t>
      </w:r>
    </w:p>
    <w:p>
      <w:pPr>
        <w:pStyle w:val="BodyText"/>
        <w:spacing w:line="267" w:lineRule="exact"/>
      </w:pPr>
      <w:r>
        <w:rPr/>
        <w:t>Phone:</w:t>
      </w:r>
      <w:r>
        <w:rPr>
          <w:spacing w:val="-7"/>
        </w:rPr>
        <w:t> </w:t>
      </w:r>
      <w:r>
        <w:rPr/>
        <w:t>(631)</w:t>
      </w:r>
      <w:r>
        <w:rPr>
          <w:spacing w:val="-7"/>
        </w:rPr>
        <w:t> </w:t>
      </w:r>
      <w:r>
        <w:rPr/>
        <w:t>632-</w:t>
      </w:r>
      <w:r>
        <w:rPr>
          <w:spacing w:val="-4"/>
        </w:rPr>
        <w:t>9036</w:t>
      </w:r>
    </w:p>
    <w:p>
      <w:pPr>
        <w:pStyle w:val="BodyText"/>
        <w:spacing w:line="267" w:lineRule="exact"/>
      </w:pPr>
      <w:r>
        <w:rPr/>
        <w:t>Fax:</w:t>
      </w:r>
      <w:r>
        <w:rPr>
          <w:spacing w:val="-7"/>
        </w:rPr>
        <w:t> </w:t>
      </w:r>
      <w:r>
        <w:rPr/>
        <w:t>(631)</w:t>
      </w:r>
      <w:r>
        <w:rPr>
          <w:spacing w:val="-6"/>
        </w:rPr>
        <w:t> </w:t>
      </w:r>
      <w:r>
        <w:rPr/>
        <w:t>632-</w:t>
      </w:r>
      <w:r>
        <w:rPr>
          <w:spacing w:val="-4"/>
        </w:rPr>
        <w:t>9839</w:t>
      </w:r>
    </w:p>
    <w:p>
      <w:pPr>
        <w:pStyle w:val="BodyText"/>
        <w:spacing w:before="2"/>
      </w:pPr>
      <w:hyperlink r:id="rId8">
        <w:r>
          <w:rPr>
            <w:color w:val="0000FF"/>
            <w:spacing w:val="-2"/>
            <w:u w:val="single" w:color="0000FF"/>
          </w:rPr>
          <w:t>https://www.stonybrook.edu/commcms/research-compliance/index.php</w:t>
        </w:r>
      </w:hyperlink>
    </w:p>
    <w:p>
      <w:pPr>
        <w:pStyle w:val="BodyText"/>
        <w:spacing w:before="266"/>
      </w:pPr>
    </w:p>
    <w:p>
      <w:pPr>
        <w:pStyle w:val="Heading1"/>
      </w:pPr>
      <w:r>
        <w:rPr>
          <w:color w:val="622322"/>
        </w:rPr>
        <w:t>Relevant</w:t>
      </w:r>
      <w:r>
        <w:rPr>
          <w:color w:val="622322"/>
          <w:spacing w:val="-10"/>
        </w:rPr>
        <w:t> </w:t>
      </w:r>
      <w:r>
        <w:rPr>
          <w:color w:val="622322"/>
        </w:rPr>
        <w:t>Standards,</w:t>
      </w:r>
      <w:r>
        <w:rPr>
          <w:color w:val="622322"/>
          <w:spacing w:val="-9"/>
        </w:rPr>
        <w:t> </w:t>
      </w:r>
      <w:r>
        <w:rPr>
          <w:color w:val="622322"/>
        </w:rPr>
        <w:t>Codes,</w:t>
      </w:r>
      <w:r>
        <w:rPr>
          <w:color w:val="622322"/>
          <w:spacing w:val="-9"/>
        </w:rPr>
        <w:t> </w:t>
      </w:r>
      <w:r>
        <w:rPr>
          <w:color w:val="622322"/>
        </w:rPr>
        <w:t>Rules,</w:t>
      </w:r>
      <w:r>
        <w:rPr>
          <w:color w:val="622322"/>
          <w:spacing w:val="-9"/>
        </w:rPr>
        <w:t> </w:t>
      </w:r>
      <w:r>
        <w:rPr>
          <w:color w:val="622322"/>
        </w:rPr>
        <w:t>Regulations,</w:t>
      </w:r>
      <w:r>
        <w:rPr>
          <w:color w:val="622322"/>
          <w:spacing w:val="-5"/>
        </w:rPr>
        <w:t> </w:t>
      </w:r>
      <w:r>
        <w:rPr>
          <w:color w:val="622322"/>
        </w:rPr>
        <w:t>Statutes</w:t>
      </w:r>
      <w:r>
        <w:rPr>
          <w:color w:val="622322"/>
          <w:spacing w:val="-7"/>
        </w:rPr>
        <w:t> </w:t>
      </w:r>
      <w:r>
        <w:rPr>
          <w:color w:val="622322"/>
        </w:rPr>
        <w:t>and</w:t>
      </w:r>
      <w:r>
        <w:rPr>
          <w:color w:val="622322"/>
          <w:spacing w:val="-8"/>
        </w:rPr>
        <w:t> </w:t>
      </w:r>
      <w:r>
        <w:rPr>
          <w:color w:val="622322"/>
          <w:spacing w:val="-2"/>
        </w:rPr>
        <w:t>Policies: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9">
        <w:r>
          <w:rPr>
            <w:color w:val="0000FF"/>
            <w:sz w:val="22"/>
            <w:u w:val="single" w:color="0000FF"/>
          </w:rPr>
          <w:t>Animal</w:t>
        </w:r>
        <w:r>
          <w:rPr>
            <w:color w:val="0000FF"/>
            <w:spacing w:val="-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Welfare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Act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(United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States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Department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Agriculture)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10">
        <w:r>
          <w:rPr>
            <w:color w:val="0000FF"/>
            <w:sz w:val="22"/>
            <w:u w:val="single" w:color="0000FF"/>
          </w:rPr>
          <w:t>AVMA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Guidelines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Euthanasia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Animals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11">
        <w:r>
          <w:rPr>
            <w:color w:val="0000FF"/>
            <w:sz w:val="22"/>
            <w:u w:val="single" w:color="0000FF"/>
          </w:rPr>
          <w:t>Office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Laboratory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Animal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Welfare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(NIH)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6" w:lineRule="exact" w:before="0" w:after="0"/>
        <w:ind w:left="720" w:right="0" w:hanging="360"/>
        <w:jc w:val="left"/>
        <w:rPr>
          <w:sz w:val="22"/>
        </w:rPr>
      </w:pPr>
      <w:hyperlink r:id="rId12">
        <w:r>
          <w:rPr>
            <w:color w:val="0000FF"/>
            <w:sz w:val="22"/>
            <w:u w:val="single" w:color="0000FF"/>
          </w:rPr>
          <w:t>NYCRR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Title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10,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Chapter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I,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State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Sanitary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pacing w:val="-4"/>
            <w:sz w:val="22"/>
            <w:u w:val="single" w:color="0000FF"/>
          </w:rPr>
          <w:t>Code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13">
        <w:r>
          <w:rPr>
            <w:color w:val="0000FF"/>
            <w:sz w:val="22"/>
            <w:u w:val="single" w:color="0000FF"/>
          </w:rPr>
          <w:t>NYCRR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Title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10,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Chapter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II,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Administrative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Rules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&amp;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Regulations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14">
        <w:r>
          <w:rPr>
            <w:color w:val="0000FF"/>
            <w:sz w:val="22"/>
            <w:u w:val="single" w:color="0000FF"/>
          </w:rPr>
          <w:t>Research</w:t>
        </w:r>
        <w:r>
          <w:rPr>
            <w:color w:val="0000FF"/>
            <w:spacing w:val="-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Involving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Human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Subjects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Policy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8" w:lineRule="exact" w:before="0" w:after="0"/>
        <w:ind w:left="720" w:right="0" w:hanging="360"/>
        <w:jc w:val="left"/>
        <w:rPr>
          <w:sz w:val="22"/>
        </w:rPr>
      </w:pPr>
      <w:hyperlink r:id="rId15">
        <w:r>
          <w:rPr>
            <w:color w:val="0000FF"/>
            <w:sz w:val="22"/>
            <w:u w:val="single" w:color="0000FF"/>
          </w:rPr>
          <w:t>Stony</w:t>
        </w:r>
        <w:r>
          <w:rPr>
            <w:color w:val="0000FF"/>
            <w:spacing w:val="-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Brook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Office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of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Research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Compliance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Website,</w:t>
        </w:r>
        <w:r>
          <w:rPr>
            <w:color w:val="0000FF"/>
            <w:spacing w:val="-5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Animal</w:t>
        </w:r>
        <w:r>
          <w:rPr>
            <w:color w:val="0000FF"/>
            <w:spacing w:val="-7"/>
            <w:sz w:val="22"/>
            <w:u w:val="single" w:color="0000FF"/>
          </w:rPr>
          <w:t> </w:t>
        </w:r>
        <w:r>
          <w:rPr>
            <w:color w:val="0000FF"/>
            <w:spacing w:val="-5"/>
            <w:sz w:val="22"/>
            <w:u w:val="single" w:color="0000FF"/>
          </w:rPr>
          <w:t>Use</w:t>
        </w:r>
      </w:hyperlink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69" w:lineRule="exact" w:before="0" w:after="0"/>
        <w:ind w:left="720" w:right="0" w:hanging="360"/>
        <w:jc w:val="left"/>
        <w:rPr>
          <w:sz w:val="22"/>
        </w:rPr>
      </w:pPr>
      <w:hyperlink r:id="rId16">
        <w:r>
          <w:rPr>
            <w:color w:val="0000FF"/>
            <w:sz w:val="22"/>
            <w:u w:val="single" w:color="0000FF"/>
          </w:rPr>
          <w:t>Animals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on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Campus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Policy</w:t>
        </w:r>
      </w:hyperlink>
    </w:p>
    <w:sectPr>
      <w:pgSz w:w="12240" w:h="15840"/>
      <w:pgMar w:header="0" w:footer="1054" w:top="1360" w:bottom="12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3474846</wp:posOffset>
              </wp:positionH>
              <wp:positionV relativeFrom="page">
                <wp:posOffset>9249114</wp:posOffset>
              </wp:positionV>
              <wp:extent cx="82232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23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609985pt;margin-top:728.276733pt;width:64.75pt;height:15.4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4" w:hanging="514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800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3" w:hanging="36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107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stonybrook.edu/policy/policies/" TargetMode="External"/><Relationship Id="rId8" Type="http://schemas.openxmlformats.org/officeDocument/2006/relationships/hyperlink" Target="https://www.stonybrook.edu/commcms/research-compliance/index.php" TargetMode="External"/><Relationship Id="rId9" Type="http://schemas.openxmlformats.org/officeDocument/2006/relationships/hyperlink" Target="https://www.nal.usda.gov/animal-health-and-welfare/animal-welfare-act" TargetMode="External"/><Relationship Id="rId10" Type="http://schemas.openxmlformats.org/officeDocument/2006/relationships/hyperlink" Target="https://www.avma.org/resources-tools/avma-policies/avma-guidelines-euthanasia-animals" TargetMode="External"/><Relationship Id="rId11" Type="http://schemas.openxmlformats.org/officeDocument/2006/relationships/hyperlink" Target="https://olaw.nih.gov/" TargetMode="External"/><Relationship Id="rId12" Type="http://schemas.openxmlformats.org/officeDocument/2006/relationships/hyperlink" Target="https://www.law.cornell.edu/regulations/new-york/title-10/chapter-I" TargetMode="External"/><Relationship Id="rId13" Type="http://schemas.openxmlformats.org/officeDocument/2006/relationships/hyperlink" Target="https://www.law.cornell.edu/regulations/new-york/title-10/chapter-II" TargetMode="External"/><Relationship Id="rId14" Type="http://schemas.openxmlformats.org/officeDocument/2006/relationships/hyperlink" Target="https://www.stonybrook.edu/policy/policies/#research" TargetMode="External"/><Relationship Id="rId15" Type="http://schemas.openxmlformats.org/officeDocument/2006/relationships/hyperlink" Target="https://www.stonybrook.edu/commcms/research-compliance/Animals-Use/" TargetMode="External"/><Relationship Id="rId16" Type="http://schemas.openxmlformats.org/officeDocument/2006/relationships/hyperlink" Target="https://www.stonybrook.edu/policy/policies/#risk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Ennis, Brian J.</dc:creator>
  <dcterms:created xsi:type="dcterms:W3CDTF">2026-03-17T17:56:37Z</dcterms:created>
  <dcterms:modified xsi:type="dcterms:W3CDTF">2026-03-17T17:56:37Z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